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E6A69C" w14:textId="1A2E71BA" w:rsidR="008554EC" w:rsidRDefault="004D649C">
      <w:pPr>
        <w:widowControl/>
        <w:adjustRightInd/>
        <w:spacing w:line="360" w:lineRule="auto"/>
        <w:jc w:val="center"/>
        <w:textAlignment w:val="auto"/>
        <w:rPr>
          <w:rFonts w:asciiTheme="minorEastAsia" w:eastAsiaTheme="minorEastAsia" w:hAnsiTheme="minorEastAsia" w:cstheme="minorEastAsia"/>
          <w:b/>
          <w:sz w:val="32"/>
          <w:szCs w:val="32"/>
        </w:rPr>
      </w:pPr>
      <w:bookmarkStart w:id="0" w:name="_Hlk114565126"/>
      <w:r>
        <w:rPr>
          <w:rFonts w:asciiTheme="minorEastAsia" w:eastAsiaTheme="minorEastAsia" w:hAnsiTheme="minorEastAsia" w:cstheme="minorEastAsia" w:hint="eastAsia"/>
          <w:b/>
          <w:sz w:val="32"/>
          <w:szCs w:val="32"/>
        </w:rPr>
        <w:t>深海能源开发技术及装备发展趋势研究</w:t>
      </w:r>
      <w:r w:rsidR="004E28B4">
        <w:rPr>
          <w:rFonts w:asciiTheme="minorEastAsia" w:eastAsiaTheme="minorEastAsia" w:hAnsiTheme="minorEastAsia" w:cstheme="minorEastAsia" w:hint="eastAsia"/>
          <w:b/>
          <w:sz w:val="32"/>
          <w:szCs w:val="32"/>
        </w:rPr>
        <w:t>项目</w:t>
      </w:r>
    </w:p>
    <w:bookmarkEnd w:id="0"/>
    <w:p w14:paraId="58926FDC" w14:textId="77777777" w:rsidR="008554EC" w:rsidRDefault="004D649C">
      <w:pPr>
        <w:widowControl/>
        <w:adjustRightInd/>
        <w:spacing w:line="360" w:lineRule="auto"/>
        <w:jc w:val="center"/>
        <w:textAlignment w:val="auto"/>
        <w:rPr>
          <w:rFonts w:asciiTheme="minorEastAsia" w:eastAsiaTheme="minorEastAsia" w:hAnsiTheme="minorEastAsia" w:cstheme="minorEastAsia"/>
          <w:b/>
          <w:sz w:val="32"/>
          <w:szCs w:val="32"/>
        </w:rPr>
      </w:pPr>
      <w:r>
        <w:rPr>
          <w:rFonts w:asciiTheme="minorEastAsia" w:eastAsiaTheme="minorEastAsia" w:hAnsiTheme="minorEastAsia" w:cstheme="minorEastAsia" w:hint="eastAsia"/>
          <w:b/>
          <w:sz w:val="32"/>
          <w:szCs w:val="32"/>
        </w:rPr>
        <w:t>采购需求书（服务）</w:t>
      </w:r>
    </w:p>
    <w:p w14:paraId="04DA25D0" w14:textId="77777777" w:rsidR="008554EC" w:rsidRDefault="008554EC">
      <w:pPr>
        <w:pStyle w:val="a0"/>
      </w:pPr>
    </w:p>
    <w:p w14:paraId="3FE95CB4" w14:textId="77777777" w:rsidR="008554EC" w:rsidRDefault="004D649C">
      <w:pPr>
        <w:pStyle w:val="a0"/>
        <w:numPr>
          <w:ilvl w:val="0"/>
          <w:numId w:val="4"/>
        </w:numPr>
        <w:tabs>
          <w:tab w:val="clear" w:pos="562"/>
          <w:tab w:val="left" w:pos="540"/>
        </w:tabs>
        <w:snapToGrid w:val="0"/>
        <w:spacing w:line="360" w:lineRule="auto"/>
        <w:rPr>
          <w:rFonts w:asciiTheme="minorEastAsia" w:hAnsiTheme="minorEastAsia" w:cstheme="minorEastAsia"/>
          <w:b/>
          <w:sz w:val="24"/>
          <w:szCs w:val="24"/>
          <w:u w:val="single"/>
        </w:rPr>
      </w:pPr>
      <w:r>
        <w:rPr>
          <w:rFonts w:asciiTheme="minorEastAsia" w:hAnsiTheme="minorEastAsia" w:cstheme="minorEastAsia" w:hint="eastAsia"/>
          <w:b/>
          <w:sz w:val="24"/>
          <w:szCs w:val="24"/>
        </w:rPr>
        <w:t>项目基本概况</w:t>
      </w:r>
    </w:p>
    <w:p w14:paraId="76962B72" w14:textId="77777777" w:rsidR="008554EC" w:rsidRDefault="004D649C">
      <w:pPr>
        <w:spacing w:line="360" w:lineRule="auto"/>
        <w:ind w:firstLineChars="200" w:firstLine="480"/>
        <w:rPr>
          <w:rFonts w:asciiTheme="minorEastAsia" w:eastAsiaTheme="minorEastAsia" w:hAnsiTheme="minorEastAsia" w:cstheme="minorEastAsia"/>
          <w:sz w:val="24"/>
        </w:rPr>
      </w:pPr>
      <w:r>
        <w:rPr>
          <w:rFonts w:asciiTheme="minorEastAsia" w:eastAsiaTheme="minorEastAsia" w:hAnsiTheme="minorEastAsia" w:cstheme="minorEastAsia" w:hint="eastAsia"/>
          <w:sz w:val="24"/>
        </w:rPr>
        <w:t>为做好《深海油气探测及生产智能优化技术研究》项目验收工作及推动海洋能源绿色开发相关课题立项，需要针对深海能源（深海油气、天然气水合物、海上风电）开发技术及装备发展趋势开展详实的研究，并获取相关领域的行业发展数据</w:t>
      </w:r>
      <w:r>
        <w:rPr>
          <w:rFonts w:asciiTheme="minorEastAsia" w:eastAsiaTheme="minorEastAsia" w:hAnsiTheme="minorEastAsia" w:cstheme="minorEastAsia" w:hint="eastAsia"/>
          <w:bCs/>
          <w:sz w:val="24"/>
        </w:rPr>
        <w:t>。</w:t>
      </w:r>
    </w:p>
    <w:p w14:paraId="7A0DAE3F" w14:textId="77777777" w:rsidR="008554EC" w:rsidRDefault="004D649C">
      <w:pPr>
        <w:pStyle w:val="a0"/>
        <w:numPr>
          <w:ilvl w:val="0"/>
          <w:numId w:val="4"/>
        </w:numPr>
        <w:tabs>
          <w:tab w:val="clear" w:pos="562"/>
          <w:tab w:val="left" w:pos="540"/>
        </w:tabs>
        <w:snapToGrid w:val="0"/>
        <w:spacing w:line="360" w:lineRule="auto"/>
        <w:rPr>
          <w:rFonts w:asciiTheme="minorEastAsia" w:hAnsiTheme="minorEastAsia" w:cstheme="minorEastAsia"/>
          <w:b/>
          <w:sz w:val="24"/>
          <w:szCs w:val="24"/>
        </w:rPr>
      </w:pPr>
      <w:r>
        <w:rPr>
          <w:rFonts w:asciiTheme="minorEastAsia" w:hAnsiTheme="minorEastAsia" w:cstheme="minorEastAsia" w:hint="eastAsia"/>
          <w:b/>
          <w:sz w:val="24"/>
          <w:szCs w:val="24"/>
        </w:rPr>
        <w:t>采购项目一览表</w:t>
      </w:r>
    </w:p>
    <w:tbl>
      <w:tblPr>
        <w:tblW w:w="4998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5"/>
        <w:gridCol w:w="1292"/>
        <w:gridCol w:w="2311"/>
        <w:gridCol w:w="1881"/>
      </w:tblGrid>
      <w:tr w:rsidR="008554EC" w14:paraId="34DBABAC" w14:textId="77777777">
        <w:trPr>
          <w:cantSplit/>
          <w:trHeight w:val="751"/>
          <w:jc w:val="center"/>
        </w:trPr>
        <w:tc>
          <w:tcPr>
            <w:tcW w:w="178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9E28E36" w14:textId="77777777" w:rsidR="008554EC" w:rsidRDefault="004D649C">
            <w:pPr>
              <w:snapToGrid w:val="0"/>
              <w:spacing w:line="320" w:lineRule="exact"/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服务内容</w:t>
            </w:r>
          </w:p>
        </w:tc>
        <w:tc>
          <w:tcPr>
            <w:tcW w:w="75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3769A0B" w14:textId="77777777" w:rsidR="008554EC" w:rsidRDefault="004D649C">
            <w:pPr>
              <w:snapToGrid w:val="0"/>
              <w:spacing w:line="320" w:lineRule="exact"/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数量</w:t>
            </w:r>
          </w:p>
        </w:tc>
        <w:tc>
          <w:tcPr>
            <w:tcW w:w="135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800452D" w14:textId="77777777" w:rsidR="008554EC" w:rsidRDefault="004D649C">
            <w:pPr>
              <w:snapToGrid w:val="0"/>
              <w:spacing w:line="320" w:lineRule="exact"/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采购预算</w:t>
            </w:r>
          </w:p>
          <w:p w14:paraId="3D6ABD7E" w14:textId="77777777" w:rsidR="008554EC" w:rsidRDefault="004D649C">
            <w:pPr>
              <w:snapToGrid w:val="0"/>
              <w:spacing w:line="320" w:lineRule="exact"/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（元）</w:t>
            </w:r>
          </w:p>
        </w:tc>
        <w:tc>
          <w:tcPr>
            <w:tcW w:w="110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2F46536" w14:textId="77777777" w:rsidR="008554EC" w:rsidRDefault="004D649C">
            <w:pPr>
              <w:snapToGrid w:val="0"/>
              <w:spacing w:line="320" w:lineRule="exact"/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服务期限</w:t>
            </w:r>
          </w:p>
        </w:tc>
      </w:tr>
      <w:tr w:rsidR="008554EC" w14:paraId="01AA4CC3" w14:textId="77777777">
        <w:trPr>
          <w:cantSplit/>
          <w:trHeight w:val="1134"/>
          <w:jc w:val="center"/>
        </w:trPr>
        <w:tc>
          <w:tcPr>
            <w:tcW w:w="1781" w:type="pct"/>
            <w:tcBorders>
              <w:tl2br w:val="nil"/>
              <w:tr2bl w:val="nil"/>
            </w:tcBorders>
            <w:vAlign w:val="center"/>
          </w:tcPr>
          <w:p w14:paraId="6A55C444" w14:textId="6C4B1BBD" w:rsidR="008554EC" w:rsidRDefault="004D649C">
            <w:pPr>
              <w:adjustRightInd/>
              <w:snapToGrid w:val="0"/>
              <w:spacing w:line="320" w:lineRule="exact"/>
              <w:jc w:val="center"/>
              <w:textAlignment w:val="auto"/>
              <w:rPr>
                <w:rFonts w:asciiTheme="minorEastAsia" w:eastAsiaTheme="minorEastAsia" w:hAnsiTheme="minorEastAsia" w:cstheme="minorEastAsia"/>
                <w:bCs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深海能源开发技术及装备发展趋势研究</w:t>
            </w:r>
            <w:r w:rsidR="00586B38">
              <w:rPr>
                <w:rFonts w:asciiTheme="minorEastAsia" w:eastAsiaTheme="minorEastAsia" w:hAnsiTheme="minorEastAsia" w:cstheme="minorEastAsia" w:hint="eastAsia"/>
                <w:sz w:val="24"/>
              </w:rPr>
              <w:t>项目</w:t>
            </w:r>
          </w:p>
        </w:tc>
        <w:tc>
          <w:tcPr>
            <w:tcW w:w="758" w:type="pct"/>
            <w:tcBorders>
              <w:tl2br w:val="nil"/>
              <w:tr2bl w:val="nil"/>
            </w:tcBorders>
            <w:vAlign w:val="center"/>
          </w:tcPr>
          <w:p w14:paraId="77575C49" w14:textId="77777777" w:rsidR="008554EC" w:rsidRDefault="004D649C">
            <w:pPr>
              <w:adjustRightInd/>
              <w:snapToGrid w:val="0"/>
              <w:spacing w:line="320" w:lineRule="exact"/>
              <w:jc w:val="center"/>
              <w:textAlignment w:val="auto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1项</w:t>
            </w:r>
          </w:p>
        </w:tc>
        <w:tc>
          <w:tcPr>
            <w:tcW w:w="1356" w:type="pct"/>
            <w:tcBorders>
              <w:tl2br w:val="nil"/>
              <w:tr2bl w:val="nil"/>
            </w:tcBorders>
            <w:vAlign w:val="center"/>
          </w:tcPr>
          <w:p w14:paraId="6D7C58D3" w14:textId="798E97B7" w:rsidR="008554EC" w:rsidRDefault="004D649C">
            <w:pPr>
              <w:adjustRightInd/>
              <w:snapToGrid w:val="0"/>
              <w:spacing w:line="320" w:lineRule="exact"/>
              <w:jc w:val="center"/>
              <w:textAlignment w:val="auto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2</w:t>
            </w:r>
            <w:r w:rsidR="004E28B4">
              <w:rPr>
                <w:rFonts w:asciiTheme="minorEastAsia" w:eastAsiaTheme="minorEastAsia" w:hAnsiTheme="minorEastAsia" w:cstheme="minorEastAsia"/>
                <w:sz w:val="24"/>
              </w:rPr>
              <w:t>1</w:t>
            </w: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0000</w:t>
            </w:r>
          </w:p>
        </w:tc>
        <w:tc>
          <w:tcPr>
            <w:tcW w:w="1104" w:type="pct"/>
            <w:tcBorders>
              <w:tl2br w:val="nil"/>
              <w:tr2bl w:val="nil"/>
            </w:tcBorders>
            <w:vAlign w:val="center"/>
          </w:tcPr>
          <w:p w14:paraId="56687DAD" w14:textId="0BFC0117" w:rsidR="008554EC" w:rsidRDefault="004D649C">
            <w:pPr>
              <w:pStyle w:val="af"/>
              <w:snapToGrid w:val="0"/>
              <w:spacing w:before="0" w:after="0" w:line="320" w:lineRule="exact"/>
              <w:rPr>
                <w:rFonts w:asciiTheme="minorEastAsia" w:eastAsiaTheme="minorEastAsia" w:hAnsiTheme="minorEastAsia" w:cstheme="minorEastAsia"/>
                <w:snapToGrid/>
                <w:spacing w:val="0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napToGrid/>
                <w:spacing w:val="0"/>
                <w:szCs w:val="24"/>
              </w:rPr>
              <w:t>自合同签订之日起</w:t>
            </w:r>
            <w:r w:rsidR="00B4342E">
              <w:rPr>
                <w:rFonts w:asciiTheme="minorEastAsia" w:eastAsiaTheme="minorEastAsia" w:hAnsiTheme="minorEastAsia" w:cstheme="minorEastAsia"/>
                <w:snapToGrid/>
                <w:spacing w:val="0"/>
                <w:szCs w:val="24"/>
              </w:rPr>
              <w:t>60</w:t>
            </w:r>
            <w:r>
              <w:rPr>
                <w:rFonts w:asciiTheme="minorEastAsia" w:eastAsiaTheme="minorEastAsia" w:hAnsiTheme="minorEastAsia" w:cstheme="minorEastAsia" w:hint="eastAsia"/>
                <w:snapToGrid/>
                <w:spacing w:val="0"/>
                <w:szCs w:val="24"/>
              </w:rPr>
              <w:t>天内完成</w:t>
            </w:r>
          </w:p>
        </w:tc>
      </w:tr>
    </w:tbl>
    <w:p w14:paraId="7D4F926D" w14:textId="77777777" w:rsidR="008554EC" w:rsidRDefault="008554EC">
      <w:pPr>
        <w:rPr>
          <w:rFonts w:asciiTheme="minorEastAsia" w:eastAsiaTheme="minorEastAsia" w:hAnsiTheme="minorEastAsia" w:cstheme="minorEastAsia"/>
          <w:sz w:val="24"/>
        </w:rPr>
      </w:pPr>
    </w:p>
    <w:p w14:paraId="70B16BA3" w14:textId="77777777" w:rsidR="008554EC" w:rsidRDefault="004D649C">
      <w:pPr>
        <w:pStyle w:val="a0"/>
        <w:numPr>
          <w:ilvl w:val="0"/>
          <w:numId w:val="4"/>
        </w:numPr>
        <w:tabs>
          <w:tab w:val="clear" w:pos="562"/>
          <w:tab w:val="left" w:pos="540"/>
        </w:tabs>
        <w:snapToGrid w:val="0"/>
        <w:spacing w:line="360" w:lineRule="auto"/>
        <w:rPr>
          <w:rFonts w:asciiTheme="minorEastAsia" w:hAnsiTheme="minorEastAsia" w:cstheme="minorEastAsia"/>
          <w:b/>
          <w:sz w:val="24"/>
          <w:szCs w:val="24"/>
        </w:rPr>
      </w:pPr>
      <w:r>
        <w:rPr>
          <w:rFonts w:asciiTheme="minorEastAsia" w:hAnsiTheme="minorEastAsia" w:cstheme="minorEastAsia" w:hint="eastAsia"/>
          <w:b/>
          <w:sz w:val="24"/>
          <w:szCs w:val="24"/>
        </w:rPr>
        <w:t>服务内容及要求</w:t>
      </w:r>
    </w:p>
    <w:p w14:paraId="617B4453" w14:textId="77777777" w:rsidR="008554EC" w:rsidRPr="00B6188A" w:rsidRDefault="004D649C" w:rsidP="00B6188A">
      <w:pPr>
        <w:pStyle w:val="a0"/>
        <w:tabs>
          <w:tab w:val="left" w:pos="540"/>
          <w:tab w:val="left" w:pos="880"/>
        </w:tabs>
        <w:snapToGrid w:val="0"/>
        <w:spacing w:line="360" w:lineRule="auto"/>
        <w:ind w:left="482"/>
        <w:rPr>
          <w:rFonts w:asciiTheme="minorEastAsia" w:hAnsiTheme="minorEastAsia" w:cstheme="minorEastAsia"/>
          <w:b/>
          <w:bCs/>
          <w:sz w:val="24"/>
          <w:szCs w:val="24"/>
        </w:rPr>
      </w:pPr>
      <w:bookmarkStart w:id="1" w:name="_Toc81489529"/>
      <w:r w:rsidRPr="00B6188A">
        <w:rPr>
          <w:rFonts w:asciiTheme="minorEastAsia" w:hAnsiTheme="minorEastAsia" w:cstheme="minorEastAsia" w:hint="eastAsia"/>
          <w:b/>
          <w:bCs/>
          <w:sz w:val="24"/>
          <w:szCs w:val="24"/>
        </w:rPr>
        <w:t>1.服务内容：</w:t>
      </w:r>
    </w:p>
    <w:p w14:paraId="50F90496" w14:textId="77777777" w:rsidR="008554EC" w:rsidRDefault="004D649C">
      <w:pPr>
        <w:pStyle w:val="a0"/>
        <w:numPr>
          <w:ilvl w:val="0"/>
          <w:numId w:val="5"/>
        </w:numPr>
        <w:tabs>
          <w:tab w:val="left" w:pos="540"/>
        </w:tabs>
        <w:snapToGrid w:val="0"/>
        <w:spacing w:line="360" w:lineRule="auto"/>
        <w:ind w:firstLineChars="200" w:firstLine="480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深海能源开发技术发展趋势研究；</w:t>
      </w:r>
    </w:p>
    <w:p w14:paraId="7C31BF90" w14:textId="77777777" w:rsidR="008554EC" w:rsidRDefault="004D649C">
      <w:pPr>
        <w:pStyle w:val="a0"/>
        <w:numPr>
          <w:ilvl w:val="0"/>
          <w:numId w:val="5"/>
        </w:numPr>
        <w:tabs>
          <w:tab w:val="left" w:pos="540"/>
        </w:tabs>
        <w:snapToGrid w:val="0"/>
        <w:spacing w:line="360" w:lineRule="auto"/>
        <w:ind w:firstLineChars="200" w:firstLine="480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深海能源开发装备发展趋势研究；</w:t>
      </w:r>
    </w:p>
    <w:p w14:paraId="1B8EE5AF" w14:textId="77777777" w:rsidR="008554EC" w:rsidRDefault="004D649C">
      <w:pPr>
        <w:pStyle w:val="a0"/>
        <w:numPr>
          <w:ilvl w:val="0"/>
          <w:numId w:val="5"/>
        </w:numPr>
        <w:tabs>
          <w:tab w:val="left" w:pos="540"/>
        </w:tabs>
        <w:snapToGrid w:val="0"/>
        <w:spacing w:line="360" w:lineRule="auto"/>
        <w:ind w:firstLineChars="200" w:firstLine="480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深海能源开发技术及装备相关领域行业数据综合分析；</w:t>
      </w:r>
    </w:p>
    <w:p w14:paraId="540E337B" w14:textId="77777777" w:rsidR="008554EC" w:rsidRDefault="004D649C">
      <w:pPr>
        <w:pStyle w:val="a0"/>
        <w:numPr>
          <w:ilvl w:val="0"/>
          <w:numId w:val="5"/>
        </w:numPr>
        <w:tabs>
          <w:tab w:val="left" w:pos="540"/>
        </w:tabs>
        <w:snapToGrid w:val="0"/>
        <w:spacing w:line="360" w:lineRule="auto"/>
        <w:ind w:firstLineChars="200" w:firstLine="480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形成高质量调研分析报告；</w:t>
      </w:r>
    </w:p>
    <w:p w14:paraId="3FD9C568" w14:textId="77777777" w:rsidR="008554EC" w:rsidRDefault="004D649C">
      <w:pPr>
        <w:pStyle w:val="a0"/>
        <w:tabs>
          <w:tab w:val="left" w:pos="540"/>
          <w:tab w:val="left" w:pos="880"/>
        </w:tabs>
        <w:snapToGrid w:val="0"/>
        <w:spacing w:line="360" w:lineRule="auto"/>
        <w:ind w:left="482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b/>
          <w:bCs/>
          <w:sz w:val="24"/>
          <w:szCs w:val="24"/>
        </w:rPr>
        <w:t>2.技术要求</w:t>
      </w:r>
      <w:r>
        <w:rPr>
          <w:rFonts w:asciiTheme="minorEastAsia" w:hAnsiTheme="minorEastAsia" w:cstheme="minorEastAsia" w:hint="eastAsia"/>
          <w:sz w:val="24"/>
          <w:szCs w:val="24"/>
        </w:rPr>
        <w:t>：</w:t>
      </w:r>
    </w:p>
    <w:p w14:paraId="20770AD0" w14:textId="77777777" w:rsidR="008554EC" w:rsidRDefault="004D649C">
      <w:pPr>
        <w:pStyle w:val="a0"/>
        <w:numPr>
          <w:ilvl w:val="0"/>
          <w:numId w:val="6"/>
        </w:numPr>
        <w:tabs>
          <w:tab w:val="left" w:pos="540"/>
        </w:tabs>
        <w:snapToGrid w:val="0"/>
        <w:spacing w:line="360" w:lineRule="auto"/>
        <w:ind w:firstLineChars="200" w:firstLine="480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开展国内外深海能源开发技术调研，综合分析相关领域的发展趋势；</w:t>
      </w:r>
    </w:p>
    <w:p w14:paraId="11E693D9" w14:textId="77777777" w:rsidR="008554EC" w:rsidRDefault="004D649C">
      <w:pPr>
        <w:pStyle w:val="a0"/>
        <w:numPr>
          <w:ilvl w:val="0"/>
          <w:numId w:val="6"/>
        </w:numPr>
        <w:tabs>
          <w:tab w:val="left" w:pos="540"/>
        </w:tabs>
        <w:snapToGrid w:val="0"/>
        <w:spacing w:line="360" w:lineRule="auto"/>
        <w:ind w:firstLineChars="200" w:firstLine="480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开展国内外深海能源开发技术调研，总结相关领域技术痛点；</w:t>
      </w:r>
    </w:p>
    <w:p w14:paraId="55C2ADD8" w14:textId="77777777" w:rsidR="008554EC" w:rsidRDefault="004D649C">
      <w:pPr>
        <w:pStyle w:val="a0"/>
        <w:numPr>
          <w:ilvl w:val="0"/>
          <w:numId w:val="6"/>
        </w:numPr>
        <w:tabs>
          <w:tab w:val="left" w:pos="540"/>
        </w:tabs>
        <w:snapToGrid w:val="0"/>
        <w:spacing w:line="360" w:lineRule="auto"/>
        <w:ind w:firstLineChars="200" w:firstLine="480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开展国内外深海能源开发技术调研，获取相关领域行业发展数据。</w:t>
      </w:r>
    </w:p>
    <w:p w14:paraId="63B828FD" w14:textId="77777777" w:rsidR="008554EC" w:rsidRDefault="004D649C">
      <w:pPr>
        <w:pStyle w:val="a0"/>
        <w:tabs>
          <w:tab w:val="left" w:pos="540"/>
          <w:tab w:val="left" w:pos="880"/>
        </w:tabs>
        <w:snapToGrid w:val="0"/>
        <w:spacing w:line="360" w:lineRule="auto"/>
        <w:ind w:left="482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b/>
          <w:bCs/>
          <w:sz w:val="24"/>
          <w:szCs w:val="24"/>
        </w:rPr>
        <w:t>4.商务要求（仅作为评分条款，不作为资质要求）</w:t>
      </w:r>
      <w:r>
        <w:rPr>
          <w:rFonts w:asciiTheme="minorEastAsia" w:hAnsiTheme="minorEastAsia" w:cstheme="minorEastAsia" w:hint="eastAsia"/>
          <w:sz w:val="24"/>
          <w:szCs w:val="24"/>
        </w:rPr>
        <w:t>：</w:t>
      </w:r>
    </w:p>
    <w:p w14:paraId="2B0964ED" w14:textId="77777777" w:rsidR="008554EC" w:rsidRDefault="004D649C">
      <w:pPr>
        <w:pStyle w:val="a0"/>
        <w:numPr>
          <w:ilvl w:val="0"/>
          <w:numId w:val="7"/>
        </w:numPr>
        <w:tabs>
          <w:tab w:val="left" w:pos="540"/>
        </w:tabs>
        <w:snapToGrid w:val="0"/>
        <w:spacing w:line="360" w:lineRule="auto"/>
        <w:ind w:firstLineChars="200" w:firstLine="480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供应商具有经验丰富、技术过硬的技术人员；</w:t>
      </w:r>
    </w:p>
    <w:p w14:paraId="2271AAF8" w14:textId="77777777" w:rsidR="008554EC" w:rsidRDefault="004D649C">
      <w:pPr>
        <w:pStyle w:val="a0"/>
        <w:numPr>
          <w:ilvl w:val="0"/>
          <w:numId w:val="7"/>
        </w:numPr>
        <w:tabs>
          <w:tab w:val="left" w:pos="540"/>
        </w:tabs>
        <w:snapToGrid w:val="0"/>
        <w:spacing w:line="360" w:lineRule="auto"/>
        <w:ind w:firstLineChars="200" w:firstLine="480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供应商具有相关领域的工作业绩。</w:t>
      </w:r>
    </w:p>
    <w:p w14:paraId="7DB8C1E2" w14:textId="77777777" w:rsidR="008554EC" w:rsidRDefault="004D649C">
      <w:pPr>
        <w:pStyle w:val="a0"/>
        <w:numPr>
          <w:ilvl w:val="0"/>
          <w:numId w:val="4"/>
        </w:numPr>
        <w:tabs>
          <w:tab w:val="clear" w:pos="562"/>
          <w:tab w:val="left" w:pos="540"/>
        </w:tabs>
        <w:snapToGrid w:val="0"/>
        <w:spacing w:line="360" w:lineRule="auto"/>
        <w:outlineLvl w:val="1"/>
        <w:rPr>
          <w:rFonts w:asciiTheme="minorEastAsia" w:hAnsiTheme="minorEastAsia" w:cstheme="minorEastAsia"/>
          <w:b/>
          <w:sz w:val="24"/>
          <w:szCs w:val="24"/>
        </w:rPr>
      </w:pPr>
      <w:r>
        <w:rPr>
          <w:rFonts w:asciiTheme="minorEastAsia" w:hAnsiTheme="minorEastAsia" w:cstheme="minorEastAsia" w:hint="eastAsia"/>
          <w:b/>
          <w:sz w:val="24"/>
          <w:szCs w:val="24"/>
        </w:rPr>
        <w:t>服务期限</w:t>
      </w:r>
      <w:bookmarkEnd w:id="1"/>
      <w:r>
        <w:rPr>
          <w:rFonts w:asciiTheme="minorEastAsia" w:hAnsiTheme="minorEastAsia" w:cstheme="minorEastAsia" w:hint="eastAsia"/>
          <w:b/>
          <w:sz w:val="24"/>
          <w:szCs w:val="24"/>
        </w:rPr>
        <w:t>：</w:t>
      </w:r>
    </w:p>
    <w:p w14:paraId="33F2FA7B" w14:textId="77777777" w:rsidR="008554EC" w:rsidRDefault="004D649C">
      <w:pPr>
        <w:pStyle w:val="a0"/>
        <w:tabs>
          <w:tab w:val="left" w:pos="540"/>
        </w:tabs>
        <w:snapToGrid w:val="0"/>
        <w:spacing w:line="360" w:lineRule="auto"/>
        <w:ind w:leftChars="200" w:left="400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自合同签订之日起</w:t>
      </w:r>
      <w:r w:rsidR="00F80DE8">
        <w:rPr>
          <w:rFonts w:asciiTheme="minorEastAsia" w:hAnsiTheme="minorEastAsia" w:cstheme="minorEastAsia" w:hint="eastAsia"/>
          <w:sz w:val="24"/>
          <w:szCs w:val="24"/>
        </w:rPr>
        <w:t>6</w:t>
      </w:r>
      <w:r>
        <w:rPr>
          <w:rFonts w:asciiTheme="minorEastAsia" w:hAnsiTheme="minorEastAsia" w:cstheme="minorEastAsia" w:hint="eastAsia"/>
          <w:sz w:val="24"/>
          <w:szCs w:val="24"/>
        </w:rPr>
        <w:t>0天内完成。</w:t>
      </w:r>
    </w:p>
    <w:p w14:paraId="0B80126F" w14:textId="77777777" w:rsidR="008554EC" w:rsidRDefault="004D649C">
      <w:pPr>
        <w:pStyle w:val="a0"/>
        <w:numPr>
          <w:ilvl w:val="0"/>
          <w:numId w:val="4"/>
        </w:numPr>
        <w:tabs>
          <w:tab w:val="clear" w:pos="562"/>
          <w:tab w:val="left" w:pos="540"/>
        </w:tabs>
        <w:snapToGrid w:val="0"/>
        <w:spacing w:line="360" w:lineRule="auto"/>
        <w:outlineLvl w:val="1"/>
        <w:rPr>
          <w:rFonts w:asciiTheme="minorEastAsia" w:hAnsiTheme="minorEastAsia" w:cstheme="minorEastAsia"/>
          <w:b/>
          <w:sz w:val="24"/>
          <w:szCs w:val="24"/>
        </w:rPr>
      </w:pPr>
      <w:bookmarkStart w:id="2" w:name="_Toc81489530"/>
      <w:r>
        <w:rPr>
          <w:rFonts w:asciiTheme="minorEastAsia" w:hAnsiTheme="minorEastAsia" w:cstheme="minorEastAsia" w:hint="eastAsia"/>
          <w:b/>
          <w:sz w:val="24"/>
          <w:szCs w:val="24"/>
        </w:rPr>
        <w:lastRenderedPageBreak/>
        <w:t>服务地点：</w:t>
      </w:r>
      <w:bookmarkEnd w:id="2"/>
    </w:p>
    <w:p w14:paraId="4B4FE651" w14:textId="77777777" w:rsidR="008554EC" w:rsidRDefault="004D649C">
      <w:pPr>
        <w:pStyle w:val="a0"/>
        <w:tabs>
          <w:tab w:val="left" w:pos="540"/>
        </w:tabs>
        <w:snapToGrid w:val="0"/>
        <w:spacing w:line="360" w:lineRule="auto"/>
        <w:ind w:leftChars="200" w:left="400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采购人指定地点。</w:t>
      </w:r>
    </w:p>
    <w:p w14:paraId="667B043E" w14:textId="28096F4D" w:rsidR="008554EC" w:rsidRDefault="004D649C">
      <w:pPr>
        <w:pStyle w:val="a0"/>
        <w:numPr>
          <w:ilvl w:val="0"/>
          <w:numId w:val="4"/>
        </w:numPr>
        <w:tabs>
          <w:tab w:val="clear" w:pos="562"/>
          <w:tab w:val="left" w:pos="540"/>
        </w:tabs>
        <w:snapToGrid w:val="0"/>
        <w:spacing w:line="360" w:lineRule="auto"/>
        <w:outlineLvl w:val="1"/>
        <w:rPr>
          <w:rFonts w:asciiTheme="minorEastAsia" w:hAnsiTheme="minorEastAsia" w:cstheme="minorEastAsia"/>
          <w:b/>
          <w:bCs/>
          <w:kern w:val="2"/>
          <w:sz w:val="24"/>
          <w:szCs w:val="24"/>
        </w:rPr>
      </w:pPr>
      <w:r>
        <w:rPr>
          <w:rFonts w:asciiTheme="minorEastAsia" w:hAnsiTheme="minorEastAsia" w:cstheme="minorEastAsia" w:hint="eastAsia"/>
          <w:b/>
          <w:sz w:val="24"/>
          <w:szCs w:val="24"/>
        </w:rPr>
        <w:t>履约保证金（根据实际情况设置）</w:t>
      </w:r>
    </w:p>
    <w:p w14:paraId="185EB12B" w14:textId="77777777" w:rsidR="008554EC" w:rsidRDefault="004D649C">
      <w:pPr>
        <w:pStyle w:val="a0"/>
        <w:tabs>
          <w:tab w:val="left" w:pos="540"/>
        </w:tabs>
        <w:snapToGrid w:val="0"/>
        <w:spacing w:line="360" w:lineRule="auto"/>
        <w:ind w:leftChars="200" w:left="400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无。</w:t>
      </w:r>
    </w:p>
    <w:p w14:paraId="03BF6EA7" w14:textId="77777777" w:rsidR="008554EC" w:rsidRDefault="004D649C">
      <w:pPr>
        <w:pStyle w:val="a0"/>
        <w:numPr>
          <w:ilvl w:val="0"/>
          <w:numId w:val="4"/>
        </w:numPr>
        <w:tabs>
          <w:tab w:val="clear" w:pos="562"/>
          <w:tab w:val="left" w:pos="540"/>
        </w:tabs>
        <w:snapToGrid w:val="0"/>
        <w:spacing w:line="360" w:lineRule="auto"/>
        <w:outlineLvl w:val="1"/>
        <w:rPr>
          <w:rFonts w:asciiTheme="minorEastAsia" w:hAnsiTheme="minorEastAsia" w:cstheme="minorEastAsia"/>
          <w:b/>
          <w:sz w:val="24"/>
          <w:szCs w:val="24"/>
        </w:rPr>
      </w:pPr>
      <w:r>
        <w:rPr>
          <w:rFonts w:asciiTheme="minorEastAsia" w:hAnsiTheme="minorEastAsia" w:cstheme="minorEastAsia" w:hint="eastAsia"/>
          <w:b/>
          <w:sz w:val="24"/>
          <w:szCs w:val="24"/>
        </w:rPr>
        <w:t>★付款方式（根据项目实际需求修改）</w:t>
      </w:r>
    </w:p>
    <w:p w14:paraId="0C4438DE" w14:textId="77777777" w:rsidR="00B6188A" w:rsidRPr="00B6188A" w:rsidRDefault="00B6188A" w:rsidP="00B6188A">
      <w:pPr>
        <w:pStyle w:val="a0"/>
        <w:tabs>
          <w:tab w:val="left" w:pos="540"/>
        </w:tabs>
        <w:snapToGrid w:val="0"/>
        <w:spacing w:line="360" w:lineRule="auto"/>
        <w:ind w:leftChars="200" w:left="400"/>
        <w:rPr>
          <w:rFonts w:asciiTheme="minorEastAsia" w:hAnsiTheme="minorEastAsia" w:cstheme="minorEastAsia" w:hint="eastAsia"/>
          <w:sz w:val="24"/>
          <w:szCs w:val="24"/>
        </w:rPr>
      </w:pPr>
      <w:r w:rsidRPr="00B6188A">
        <w:rPr>
          <w:rFonts w:asciiTheme="minorEastAsia" w:hAnsiTheme="minorEastAsia" w:cstheme="minorEastAsia" w:hint="eastAsia"/>
          <w:sz w:val="24"/>
          <w:szCs w:val="24"/>
        </w:rPr>
        <w:t>1.</w:t>
      </w:r>
      <w:r w:rsidRPr="00B6188A">
        <w:rPr>
          <w:rFonts w:asciiTheme="minorEastAsia" w:hAnsiTheme="minorEastAsia" w:cstheme="minorEastAsia" w:hint="eastAsia"/>
          <w:sz w:val="24"/>
          <w:szCs w:val="24"/>
        </w:rPr>
        <w:tab/>
        <w:t>合同签订且收到乙方开具的合同总额20%的等额合法有效增值税专用发票后，七日内支付乙方合同总额20%的价款。</w:t>
      </w:r>
    </w:p>
    <w:p w14:paraId="30465153" w14:textId="77777777" w:rsidR="00B6188A" w:rsidRPr="00B6188A" w:rsidRDefault="00B6188A" w:rsidP="00B6188A">
      <w:pPr>
        <w:pStyle w:val="a0"/>
        <w:tabs>
          <w:tab w:val="left" w:pos="540"/>
        </w:tabs>
        <w:snapToGrid w:val="0"/>
        <w:spacing w:line="360" w:lineRule="auto"/>
        <w:ind w:leftChars="200" w:left="400"/>
        <w:rPr>
          <w:rFonts w:asciiTheme="minorEastAsia" w:hAnsiTheme="minorEastAsia" w:cstheme="minorEastAsia" w:hint="eastAsia"/>
          <w:sz w:val="24"/>
          <w:szCs w:val="24"/>
        </w:rPr>
      </w:pPr>
      <w:r w:rsidRPr="00B6188A">
        <w:rPr>
          <w:rFonts w:asciiTheme="minorEastAsia" w:hAnsiTheme="minorEastAsia" w:cstheme="minorEastAsia" w:hint="eastAsia"/>
          <w:sz w:val="24"/>
          <w:szCs w:val="24"/>
        </w:rPr>
        <w:t>2.</w:t>
      </w:r>
      <w:r w:rsidRPr="00B6188A">
        <w:rPr>
          <w:rFonts w:asciiTheme="minorEastAsia" w:hAnsiTheme="minorEastAsia" w:cstheme="minorEastAsia" w:hint="eastAsia"/>
          <w:sz w:val="24"/>
          <w:szCs w:val="24"/>
        </w:rPr>
        <w:tab/>
        <w:t>技术服务结束后，乙方提供相应的技术服务报告，经甲方验收合格后，乙方开具合同总额80%的等额合法有效增值税专用发票，甲方收到发票后七日内，支付乙方合同总额80%的价款。</w:t>
      </w:r>
    </w:p>
    <w:p w14:paraId="31153065" w14:textId="77777777" w:rsidR="00B6188A" w:rsidRPr="00B6188A" w:rsidRDefault="00B6188A" w:rsidP="00B6188A">
      <w:pPr>
        <w:pStyle w:val="a0"/>
        <w:tabs>
          <w:tab w:val="left" w:pos="562"/>
        </w:tabs>
        <w:snapToGrid w:val="0"/>
        <w:spacing w:line="360" w:lineRule="auto"/>
        <w:ind w:leftChars="200" w:left="400"/>
        <w:rPr>
          <w:rFonts w:asciiTheme="minorEastAsia" w:hAnsiTheme="minorEastAsia" w:cstheme="minorEastAsia"/>
          <w:sz w:val="24"/>
          <w:szCs w:val="24"/>
        </w:rPr>
      </w:pPr>
      <w:r w:rsidRPr="00B6188A">
        <w:rPr>
          <w:rFonts w:asciiTheme="minorEastAsia" w:hAnsiTheme="minorEastAsia" w:cstheme="minorEastAsia" w:hint="eastAsia"/>
          <w:sz w:val="24"/>
          <w:szCs w:val="24"/>
        </w:rPr>
        <w:t>3.特别说明：甲方使用财政资金，须按政府财政部</w:t>
      </w:r>
      <w:proofErr w:type="gramStart"/>
      <w:r w:rsidRPr="00B6188A">
        <w:rPr>
          <w:rFonts w:asciiTheme="minorEastAsia" w:hAnsiTheme="minorEastAsia" w:cstheme="minorEastAsia" w:hint="eastAsia"/>
          <w:sz w:val="24"/>
          <w:szCs w:val="24"/>
        </w:rPr>
        <w:t>门相关</w:t>
      </w:r>
      <w:proofErr w:type="gramEnd"/>
      <w:r w:rsidRPr="00B6188A">
        <w:rPr>
          <w:rFonts w:asciiTheme="minorEastAsia" w:hAnsiTheme="minorEastAsia" w:cstheme="minorEastAsia" w:hint="eastAsia"/>
          <w:sz w:val="24"/>
          <w:szCs w:val="24"/>
        </w:rPr>
        <w:t>规定申请用款；乙方请款须开具符合要求的增值税专用发票，因乙方未开具发票、发票金额不足或开具的发票不符合要求，导致迟延付款的，乙方自行承担相关责任；甲方有权利根据服务方案和实际情况调整付款方式；本项目付款时间为甲方向政府财政部门提出申请的时间，不含政府财政部门审核时间，乙方不得以此判定甲方逾期支付，进行索赔。</w:t>
      </w:r>
    </w:p>
    <w:p w14:paraId="08C471AB" w14:textId="2BA697AA" w:rsidR="004F20DF" w:rsidRPr="00171AC8" w:rsidRDefault="004D649C" w:rsidP="00B6188A">
      <w:pPr>
        <w:pStyle w:val="a0"/>
        <w:numPr>
          <w:ilvl w:val="0"/>
          <w:numId w:val="4"/>
        </w:numPr>
        <w:snapToGrid w:val="0"/>
        <w:spacing w:line="360" w:lineRule="auto"/>
        <w:outlineLvl w:val="1"/>
        <w:rPr>
          <w:rFonts w:asciiTheme="minorEastAsia" w:hAnsiTheme="minorEastAsia" w:cstheme="minorEastAsia"/>
          <w:b/>
          <w:sz w:val="24"/>
          <w:szCs w:val="24"/>
        </w:rPr>
      </w:pPr>
      <w:r>
        <w:rPr>
          <w:rFonts w:asciiTheme="minorEastAsia" w:hAnsiTheme="minorEastAsia" w:cstheme="minorEastAsia" w:hint="eastAsia"/>
          <w:b/>
          <w:sz w:val="24"/>
          <w:szCs w:val="24"/>
        </w:rPr>
        <w:t>★验收标准（根据项目实际需求修改）</w:t>
      </w:r>
    </w:p>
    <w:p w14:paraId="349C7A88" w14:textId="647BDE1C" w:rsidR="004F20DF" w:rsidRPr="00C35DD5" w:rsidRDefault="00C35DD5" w:rsidP="00C35DD5">
      <w:pPr>
        <w:pStyle w:val="a0"/>
        <w:tabs>
          <w:tab w:val="left" w:pos="540"/>
        </w:tabs>
        <w:snapToGrid w:val="0"/>
        <w:spacing w:line="360" w:lineRule="auto"/>
        <w:ind w:leftChars="200" w:left="400"/>
        <w:rPr>
          <w:rFonts w:asciiTheme="minorEastAsia" w:hAnsiTheme="minorEastAsia" w:cstheme="minorEastAsia"/>
          <w:sz w:val="24"/>
          <w:szCs w:val="24"/>
        </w:rPr>
      </w:pPr>
      <w:r w:rsidRPr="00C35DD5">
        <w:rPr>
          <w:rFonts w:asciiTheme="minorEastAsia" w:hAnsiTheme="minorEastAsia" w:cstheme="minorEastAsia"/>
          <w:sz w:val="24"/>
          <w:szCs w:val="24"/>
        </w:rPr>
        <w:t>1</w:t>
      </w:r>
      <w:r w:rsidR="004F20DF" w:rsidRPr="00C35DD5">
        <w:rPr>
          <w:rFonts w:asciiTheme="minorEastAsia" w:hAnsiTheme="minorEastAsia" w:cstheme="minorEastAsia" w:hint="eastAsia"/>
          <w:sz w:val="24"/>
          <w:szCs w:val="24"/>
        </w:rPr>
        <w:t>.成果文件：乙方依照合同</w:t>
      </w:r>
      <w:r w:rsidR="00171AC8" w:rsidRPr="00C35DD5">
        <w:rPr>
          <w:rFonts w:asciiTheme="minorEastAsia" w:hAnsiTheme="minorEastAsia" w:cstheme="minorEastAsia" w:hint="eastAsia"/>
          <w:sz w:val="24"/>
          <w:szCs w:val="24"/>
        </w:rPr>
        <w:t>完成深海能源开发技术及装备发展趋势调研并完成</w:t>
      </w:r>
      <w:r w:rsidR="004F20DF" w:rsidRPr="00C35DD5">
        <w:rPr>
          <w:rFonts w:asciiTheme="minorEastAsia" w:hAnsiTheme="minorEastAsia" w:cstheme="minorEastAsia" w:hint="eastAsia"/>
          <w:sz w:val="24"/>
          <w:szCs w:val="24"/>
        </w:rPr>
        <w:t>技术服务内容，</w:t>
      </w:r>
      <w:r w:rsidR="00171AC8" w:rsidRPr="00C35DD5">
        <w:rPr>
          <w:rFonts w:asciiTheme="minorEastAsia" w:hAnsiTheme="minorEastAsia" w:cstheme="minorEastAsia" w:hint="eastAsia"/>
          <w:sz w:val="24"/>
          <w:szCs w:val="24"/>
        </w:rPr>
        <w:t>向甲方提供高质量调研报告</w:t>
      </w:r>
      <w:r w:rsidR="004F20DF" w:rsidRPr="00C35DD5">
        <w:rPr>
          <w:rFonts w:asciiTheme="minorEastAsia" w:hAnsiTheme="minorEastAsia" w:cstheme="minorEastAsia" w:hint="eastAsia"/>
          <w:sz w:val="24"/>
          <w:szCs w:val="24"/>
        </w:rPr>
        <w:t>，并保证数据科学、客观、公正、真实。</w:t>
      </w:r>
    </w:p>
    <w:p w14:paraId="72157FE8" w14:textId="77777777" w:rsidR="004F20DF" w:rsidRPr="00C35DD5" w:rsidRDefault="004F20DF" w:rsidP="00C35DD5">
      <w:pPr>
        <w:pStyle w:val="a0"/>
        <w:tabs>
          <w:tab w:val="left" w:pos="540"/>
        </w:tabs>
        <w:snapToGrid w:val="0"/>
        <w:spacing w:line="360" w:lineRule="auto"/>
        <w:ind w:leftChars="200" w:left="400"/>
        <w:rPr>
          <w:rFonts w:asciiTheme="minorEastAsia" w:hAnsiTheme="minorEastAsia" w:cstheme="minorEastAsia"/>
          <w:sz w:val="24"/>
          <w:szCs w:val="24"/>
        </w:rPr>
      </w:pPr>
      <w:r w:rsidRPr="00C35DD5">
        <w:rPr>
          <w:rFonts w:asciiTheme="minorEastAsia" w:hAnsiTheme="minorEastAsia" w:cstheme="minorEastAsia" w:hint="eastAsia"/>
          <w:sz w:val="24"/>
          <w:szCs w:val="24"/>
        </w:rPr>
        <w:t>2.验收方式：由甲方确定验收专家，根据技术标准对技术服务工作及项目报告进行检查验收。</w:t>
      </w:r>
    </w:p>
    <w:p w14:paraId="3DD8D294" w14:textId="77777777" w:rsidR="004F20DF" w:rsidRPr="00C35DD5" w:rsidRDefault="004F20DF" w:rsidP="00C35DD5">
      <w:pPr>
        <w:pStyle w:val="a0"/>
        <w:tabs>
          <w:tab w:val="left" w:pos="540"/>
        </w:tabs>
        <w:snapToGrid w:val="0"/>
        <w:spacing w:line="360" w:lineRule="auto"/>
        <w:ind w:leftChars="200" w:left="400"/>
        <w:rPr>
          <w:rFonts w:asciiTheme="minorEastAsia" w:hAnsiTheme="minorEastAsia" w:cstheme="minorEastAsia"/>
          <w:sz w:val="24"/>
          <w:szCs w:val="24"/>
        </w:rPr>
      </w:pPr>
      <w:r w:rsidRPr="00C35DD5">
        <w:rPr>
          <w:rFonts w:asciiTheme="minorEastAsia" w:hAnsiTheme="minorEastAsia" w:cstheme="minorEastAsia" w:hint="eastAsia"/>
          <w:sz w:val="24"/>
          <w:szCs w:val="24"/>
        </w:rPr>
        <w:t>3. 验收流程：甲方收到乙方工作成果后，应当通知乙方对工作成果进行验收。工作成果验收采取的形式、验收专家及验收地点由甲方确定。</w:t>
      </w:r>
    </w:p>
    <w:p w14:paraId="3DAB15E8" w14:textId="421355CD" w:rsidR="004F20DF" w:rsidRPr="00C35DD5" w:rsidRDefault="004F20DF" w:rsidP="00C35DD5">
      <w:pPr>
        <w:pStyle w:val="a0"/>
        <w:tabs>
          <w:tab w:val="left" w:pos="540"/>
        </w:tabs>
        <w:snapToGrid w:val="0"/>
        <w:spacing w:line="360" w:lineRule="auto"/>
        <w:ind w:leftChars="200" w:left="400"/>
        <w:rPr>
          <w:rFonts w:asciiTheme="minorEastAsia" w:hAnsiTheme="minorEastAsia" w:cstheme="minorEastAsia"/>
          <w:sz w:val="24"/>
          <w:szCs w:val="24"/>
        </w:rPr>
      </w:pPr>
      <w:r w:rsidRPr="00C35DD5">
        <w:rPr>
          <w:rFonts w:asciiTheme="minorEastAsia" w:hAnsiTheme="minorEastAsia" w:cstheme="minorEastAsia" w:hint="eastAsia"/>
          <w:sz w:val="24"/>
          <w:szCs w:val="24"/>
        </w:rPr>
        <w:t>4.验收的时间和地点：合同有效期内，验收地点由甲方确定。</w:t>
      </w:r>
    </w:p>
    <w:sectPr w:rsidR="004F20DF" w:rsidRPr="00C35DD5" w:rsidSect="008554EC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683E24" w14:textId="77777777" w:rsidR="00F83463" w:rsidRDefault="00F83463">
      <w:pPr>
        <w:spacing w:line="240" w:lineRule="auto"/>
      </w:pPr>
      <w:r>
        <w:separator/>
      </w:r>
    </w:p>
  </w:endnote>
  <w:endnote w:type="continuationSeparator" w:id="0">
    <w:p w14:paraId="26428680" w14:textId="77777777" w:rsidR="00F83463" w:rsidRDefault="00F8346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7778A" w14:textId="77777777" w:rsidR="008554EC" w:rsidRDefault="00000000">
    <w:pPr>
      <w:pStyle w:val="a9"/>
      <w:jc w:val="center"/>
    </w:pPr>
    <w:r>
      <w:pict w14:anchorId="3E5D8552">
        <v:shapetype id="_x0000_t202" coordsize="21600,21600" o:spt="202" path="m,l,21600r21600,l21600,xe">
          <v:stroke joinstyle="miter"/>
          <v:path gradientshapeok="t" o:connecttype="rect"/>
        </v:shapetype>
        <v:shape id="文本框 2" o:spid="_x0000_s1025" type="#_x0000_t202" style="position:absolute;left:0;text-align:left;margin-left:0;margin-top:0;width:2in;height:2in;z-index:251659264;mso-wrap-style:none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" filled="f" stroked="f">
          <v:textbox style="mso-fit-shape-to-text:t" inset="0,0,0,0">
            <w:txbxContent>
              <w:p w14:paraId="24D0651F" w14:textId="77777777" w:rsidR="008554EC" w:rsidRDefault="004D649C">
                <w:pPr>
                  <w:pStyle w:val="a9"/>
                </w:pPr>
                <w:r>
                  <w:rPr>
                    <w:rFonts w:hint="eastAsia"/>
                  </w:rPr>
                  <w:t>第</w:t>
                </w:r>
                <w:r>
                  <w:rPr>
                    <w:rFonts w:hint="eastAsia"/>
                  </w:rPr>
                  <w:t xml:space="preserve"> </w:t>
                </w:r>
                <w:r w:rsidR="006D52C6"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 w:rsidR="006D52C6">
                  <w:rPr>
                    <w:rFonts w:hint="eastAsia"/>
                  </w:rPr>
                  <w:fldChar w:fldCharType="separate"/>
                </w:r>
                <w:r w:rsidR="00DF33D7">
                  <w:rPr>
                    <w:noProof/>
                  </w:rPr>
                  <w:t>2</w:t>
                </w:r>
                <w:r w:rsidR="006D52C6">
                  <w:rPr>
                    <w:rFonts w:hint="eastAsia"/>
                  </w:rPr>
                  <w:fldChar w:fldCharType="end"/>
                </w:r>
                <w:r>
                  <w:rPr>
                    <w:rFonts w:hint="eastAsia"/>
                  </w:rPr>
                  <w:t xml:space="preserve"> </w:t>
                </w:r>
                <w:r>
                  <w:rPr>
                    <w:rFonts w:hint="eastAsia"/>
                  </w:rPr>
                  <w:t>页</w:t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410CEF" w14:textId="77777777" w:rsidR="00F83463" w:rsidRDefault="00F83463">
      <w:pPr>
        <w:spacing w:line="240" w:lineRule="auto"/>
      </w:pPr>
      <w:r>
        <w:separator/>
      </w:r>
    </w:p>
  </w:footnote>
  <w:footnote w:type="continuationSeparator" w:id="0">
    <w:p w14:paraId="38864164" w14:textId="77777777" w:rsidR="00F83463" w:rsidRDefault="00F8346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71F6F" w14:textId="77777777" w:rsidR="008554EC" w:rsidRDefault="008554EC">
    <w:pPr>
      <w:pStyle w:val="aa"/>
      <w:pBdr>
        <w:bottom w:val="none" w:sz="0" w:space="1" w:color="auto"/>
      </w:pBd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1144B2D"/>
    <w:multiLevelType w:val="multilevel"/>
    <w:tmpl w:val="81144B2D"/>
    <w:lvl w:ilvl="0">
      <w:start w:val="1"/>
      <w:numFmt w:val="chineseCounting"/>
      <w:suff w:val="nothing"/>
      <w:lvlText w:val="（%1）"/>
      <w:lvlJc w:val="left"/>
      <w:pPr>
        <w:ind w:left="0" w:firstLine="400"/>
      </w:pPr>
      <w:rPr>
        <w:rFonts w:hint="eastAsia"/>
      </w:rPr>
    </w:lvl>
    <w:lvl w:ilvl="1">
      <w:start w:val="1"/>
      <w:numFmt w:val="decimal"/>
      <w:pStyle w:val="2"/>
      <w:suff w:val="nothing"/>
      <w:lvlText w:val="%2．"/>
      <w:lvlJc w:val="left"/>
      <w:pPr>
        <w:ind w:left="0" w:firstLine="400"/>
      </w:pPr>
      <w:rPr>
        <w:rFonts w:hint="eastAsia"/>
      </w:rPr>
    </w:lvl>
    <w:lvl w:ilvl="2">
      <w:start w:val="1"/>
      <w:numFmt w:val="decimal"/>
      <w:suff w:val="nothing"/>
      <w:lvlText w:val="（%3）"/>
      <w:lvlJc w:val="left"/>
      <w:pPr>
        <w:ind w:left="0" w:firstLine="402"/>
      </w:pPr>
      <w:rPr>
        <w:rFonts w:hint="eastAsia"/>
      </w:rPr>
    </w:lvl>
    <w:lvl w:ilvl="3">
      <w:start w:val="1"/>
      <w:numFmt w:val="decimalEnclosedCircleChinese"/>
      <w:suff w:val="nothing"/>
      <w:lvlText w:val="%4 "/>
      <w:lvlJc w:val="left"/>
      <w:pPr>
        <w:ind w:left="0" w:firstLine="402"/>
      </w:pPr>
      <w:rPr>
        <w:rFonts w:hint="eastAsia"/>
      </w:rPr>
    </w:lvl>
    <w:lvl w:ilvl="4">
      <w:start w:val="1"/>
      <w:numFmt w:val="decimal"/>
      <w:suff w:val="nothing"/>
      <w:lvlText w:val="%5）"/>
      <w:lvlJc w:val="left"/>
      <w:pPr>
        <w:ind w:left="0" w:firstLine="402"/>
      </w:pPr>
      <w:rPr>
        <w:rFonts w:hint="eastAsia"/>
      </w:rPr>
    </w:lvl>
    <w:lvl w:ilvl="5">
      <w:start w:val="1"/>
      <w:numFmt w:val="upperLetter"/>
      <w:suff w:val="nothing"/>
      <w:lvlText w:val="%6．"/>
      <w:lvlJc w:val="left"/>
      <w:pPr>
        <w:ind w:left="0" w:firstLine="402"/>
      </w:pPr>
      <w:rPr>
        <w:rFonts w:hint="eastAsia"/>
      </w:rPr>
    </w:lvl>
    <w:lvl w:ilvl="6">
      <w:start w:val="1"/>
      <w:numFmt w:val="lowerLetter"/>
      <w:suff w:val="nothing"/>
      <w:lvlText w:val="%7．"/>
      <w:lvlJc w:val="left"/>
      <w:pPr>
        <w:ind w:left="0" w:firstLine="402"/>
      </w:pPr>
      <w:rPr>
        <w:rFonts w:hint="eastAsia"/>
      </w:rPr>
    </w:lvl>
    <w:lvl w:ilvl="7">
      <w:start w:val="1"/>
      <w:numFmt w:val="lowerLetter"/>
      <w:suff w:val="nothing"/>
      <w:lvlText w:val="%8）"/>
      <w:lvlJc w:val="left"/>
      <w:pPr>
        <w:ind w:left="0" w:firstLine="402"/>
      </w:pPr>
      <w:rPr>
        <w:rFonts w:hint="eastAsia"/>
      </w:rPr>
    </w:lvl>
    <w:lvl w:ilvl="8">
      <w:start w:val="1"/>
      <w:numFmt w:val="lowerRoman"/>
      <w:suff w:val="nothing"/>
      <w:lvlText w:val="%9．"/>
      <w:lvlJc w:val="left"/>
      <w:pPr>
        <w:ind w:left="0" w:firstLine="402"/>
      </w:pPr>
      <w:rPr>
        <w:rFonts w:hint="eastAsia"/>
      </w:rPr>
    </w:lvl>
  </w:abstractNum>
  <w:abstractNum w:abstractNumId="1" w15:restartNumberingAfterBreak="0">
    <w:nsid w:val="CF136F99"/>
    <w:multiLevelType w:val="singleLevel"/>
    <w:tmpl w:val="CF136F99"/>
    <w:lvl w:ilvl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2" w15:restartNumberingAfterBreak="0">
    <w:nsid w:val="02EC484A"/>
    <w:multiLevelType w:val="multilevel"/>
    <w:tmpl w:val="7A607C4A"/>
    <w:lvl w:ilvl="0">
      <w:start w:val="1"/>
      <w:numFmt w:val="decimal"/>
      <w:lvlText w:val="%1."/>
      <w:lvlJc w:val="left"/>
      <w:pPr>
        <w:ind w:left="425" w:hanging="425"/>
      </w:pPr>
      <w:rPr>
        <w:rFonts w:asciiTheme="minorEastAsia" w:eastAsia="宋体" w:hAnsiTheme="minorEastAsia" w:hint="default"/>
        <w:b w:val="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716E379"/>
    <w:multiLevelType w:val="singleLevel"/>
    <w:tmpl w:val="1716E379"/>
    <w:lvl w:ilvl="0">
      <w:start w:val="1"/>
      <w:numFmt w:val="chineseCounting"/>
      <w:pStyle w:val="1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4" w15:restartNumberingAfterBreak="0">
    <w:nsid w:val="187A48C1"/>
    <w:multiLevelType w:val="multilevel"/>
    <w:tmpl w:val="187A48C1"/>
    <w:lvl w:ilvl="0">
      <w:start w:val="1"/>
      <w:numFmt w:val="japaneseCounting"/>
      <w:lvlText w:val="%1、"/>
      <w:lvlJc w:val="left"/>
      <w:pPr>
        <w:tabs>
          <w:tab w:val="left" w:pos="562"/>
        </w:tabs>
        <w:ind w:left="562" w:hanging="420"/>
      </w:pPr>
      <w:rPr>
        <w:rFonts w:ascii="宋体" w:eastAsia="宋体" w:hAnsi="宋体" w:cs="Courier New"/>
      </w:rPr>
    </w:lvl>
    <w:lvl w:ilvl="1">
      <w:start w:val="1"/>
      <w:numFmt w:val="decimal"/>
      <w:lvlText w:val="%2、"/>
      <w:lvlJc w:val="left"/>
      <w:pPr>
        <w:tabs>
          <w:tab w:val="left" w:pos="786"/>
        </w:tabs>
        <w:ind w:left="786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5" w15:restartNumberingAfterBreak="0">
    <w:nsid w:val="43137697"/>
    <w:multiLevelType w:val="multilevel"/>
    <w:tmpl w:val="7A607C4A"/>
    <w:lvl w:ilvl="0">
      <w:start w:val="1"/>
      <w:numFmt w:val="decimal"/>
      <w:lvlText w:val="%1."/>
      <w:lvlJc w:val="left"/>
      <w:pPr>
        <w:ind w:left="425" w:hanging="425"/>
      </w:pPr>
      <w:rPr>
        <w:rFonts w:asciiTheme="minorEastAsia" w:eastAsia="宋体" w:hAnsiTheme="minorEastAsia" w:hint="default"/>
        <w:b w:val="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49506CE7"/>
    <w:multiLevelType w:val="singleLevel"/>
    <w:tmpl w:val="49506CE7"/>
    <w:lvl w:ilvl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7" w15:restartNumberingAfterBreak="0">
    <w:nsid w:val="6249B9AA"/>
    <w:multiLevelType w:val="multilevel"/>
    <w:tmpl w:val="6249B9AA"/>
    <w:lvl w:ilvl="0">
      <w:start w:val="1"/>
      <w:numFmt w:val="chineseCounting"/>
      <w:suff w:val="nothing"/>
      <w:lvlText w:val="（%1）"/>
      <w:lvlJc w:val="left"/>
      <w:pPr>
        <w:ind w:left="0" w:firstLine="400"/>
      </w:pPr>
      <w:rPr>
        <w:rFonts w:hint="eastAsia"/>
      </w:rPr>
    </w:lvl>
    <w:lvl w:ilvl="1">
      <w:start w:val="1"/>
      <w:numFmt w:val="decimal"/>
      <w:suff w:val="nothing"/>
      <w:lvlText w:val="%2．"/>
      <w:lvlJc w:val="left"/>
      <w:pPr>
        <w:ind w:left="0" w:firstLine="400"/>
      </w:pPr>
      <w:rPr>
        <w:rFonts w:hint="eastAsia"/>
      </w:rPr>
    </w:lvl>
    <w:lvl w:ilvl="2">
      <w:start w:val="1"/>
      <w:numFmt w:val="decimal"/>
      <w:pStyle w:val="3"/>
      <w:suff w:val="nothing"/>
      <w:lvlText w:val="（%3）"/>
      <w:lvlJc w:val="left"/>
      <w:pPr>
        <w:ind w:left="0" w:firstLine="402"/>
      </w:pPr>
      <w:rPr>
        <w:rFonts w:hint="eastAsia"/>
      </w:rPr>
    </w:lvl>
    <w:lvl w:ilvl="3">
      <w:start w:val="1"/>
      <w:numFmt w:val="decimalEnclosedCircleChinese"/>
      <w:suff w:val="nothing"/>
      <w:lvlText w:val="%4 "/>
      <w:lvlJc w:val="left"/>
      <w:pPr>
        <w:ind w:left="0" w:firstLine="402"/>
      </w:pPr>
      <w:rPr>
        <w:rFonts w:hint="eastAsia"/>
      </w:rPr>
    </w:lvl>
    <w:lvl w:ilvl="4">
      <w:start w:val="1"/>
      <w:numFmt w:val="decimal"/>
      <w:suff w:val="nothing"/>
      <w:lvlText w:val="%5）"/>
      <w:lvlJc w:val="left"/>
      <w:pPr>
        <w:ind w:left="0" w:firstLine="402"/>
      </w:pPr>
      <w:rPr>
        <w:rFonts w:hint="eastAsia"/>
      </w:rPr>
    </w:lvl>
    <w:lvl w:ilvl="5">
      <w:start w:val="1"/>
      <w:numFmt w:val="upperLetter"/>
      <w:suff w:val="nothing"/>
      <w:lvlText w:val="%6．"/>
      <w:lvlJc w:val="left"/>
      <w:pPr>
        <w:ind w:left="0" w:firstLine="402"/>
      </w:pPr>
      <w:rPr>
        <w:rFonts w:hint="eastAsia"/>
      </w:rPr>
    </w:lvl>
    <w:lvl w:ilvl="6">
      <w:start w:val="1"/>
      <w:numFmt w:val="lowerLetter"/>
      <w:suff w:val="nothing"/>
      <w:lvlText w:val="%7．"/>
      <w:lvlJc w:val="left"/>
      <w:pPr>
        <w:ind w:left="0" w:firstLine="402"/>
      </w:pPr>
      <w:rPr>
        <w:rFonts w:hint="eastAsia"/>
      </w:rPr>
    </w:lvl>
    <w:lvl w:ilvl="7">
      <w:start w:val="1"/>
      <w:numFmt w:val="lowerLetter"/>
      <w:suff w:val="nothing"/>
      <w:lvlText w:val="%8）"/>
      <w:lvlJc w:val="left"/>
      <w:pPr>
        <w:ind w:left="0" w:firstLine="402"/>
      </w:pPr>
      <w:rPr>
        <w:rFonts w:hint="eastAsia"/>
      </w:rPr>
    </w:lvl>
    <w:lvl w:ilvl="8">
      <w:start w:val="1"/>
      <w:numFmt w:val="lowerRoman"/>
      <w:suff w:val="nothing"/>
      <w:lvlText w:val="%9．"/>
      <w:lvlJc w:val="left"/>
      <w:pPr>
        <w:ind w:left="0" w:firstLine="402"/>
      </w:pPr>
      <w:rPr>
        <w:rFonts w:hint="eastAsia"/>
      </w:rPr>
    </w:lvl>
  </w:abstractNum>
  <w:abstractNum w:abstractNumId="8" w15:restartNumberingAfterBreak="0">
    <w:nsid w:val="79A1696C"/>
    <w:multiLevelType w:val="singleLevel"/>
    <w:tmpl w:val="79A1696C"/>
    <w:lvl w:ilvl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9" w15:restartNumberingAfterBreak="0">
    <w:nsid w:val="7A607C4A"/>
    <w:multiLevelType w:val="multilevel"/>
    <w:tmpl w:val="7A607C4A"/>
    <w:lvl w:ilvl="0">
      <w:start w:val="1"/>
      <w:numFmt w:val="decimal"/>
      <w:lvlText w:val="%1."/>
      <w:lvlJc w:val="left"/>
      <w:pPr>
        <w:ind w:left="425" w:hanging="425"/>
      </w:pPr>
      <w:rPr>
        <w:rFonts w:asciiTheme="minorEastAsia" w:eastAsia="宋体" w:hAnsiTheme="minorEastAsia" w:hint="default"/>
        <w:b w:val="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60001478">
    <w:abstractNumId w:val="3"/>
  </w:num>
  <w:num w:numId="2" w16cid:durableId="333844348">
    <w:abstractNumId w:val="0"/>
  </w:num>
  <w:num w:numId="3" w16cid:durableId="6258119">
    <w:abstractNumId w:val="7"/>
  </w:num>
  <w:num w:numId="4" w16cid:durableId="1135176588">
    <w:abstractNumId w:val="4"/>
  </w:num>
  <w:num w:numId="5" w16cid:durableId="1973561438">
    <w:abstractNumId w:val="6"/>
  </w:num>
  <w:num w:numId="6" w16cid:durableId="615137106">
    <w:abstractNumId w:val="1"/>
  </w:num>
  <w:num w:numId="7" w16cid:durableId="364333452">
    <w:abstractNumId w:val="8"/>
  </w:num>
  <w:num w:numId="8" w16cid:durableId="1761951535">
    <w:abstractNumId w:val="9"/>
  </w:num>
  <w:num w:numId="9" w16cid:durableId="1504081848">
    <w:abstractNumId w:val="5"/>
  </w:num>
  <w:num w:numId="10" w16cid:durableId="18990485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 w:grammar="clean"/>
  <w:defaultTabStop w:val="420"/>
  <w:drawingGridHorizontalSpacing w:val="100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OWY5NTY1ZTcxZGJlMDk2NWI1Mjk5MWQzZDkyNDRkZTcifQ=="/>
  </w:docVars>
  <w:rsids>
    <w:rsidRoot w:val="5B8C17CB"/>
    <w:rsid w:val="000437D0"/>
    <w:rsid w:val="00046BC5"/>
    <w:rsid w:val="0005715C"/>
    <w:rsid w:val="0009244D"/>
    <w:rsid w:val="000A45E9"/>
    <w:rsid w:val="000D46DC"/>
    <w:rsid w:val="000E2680"/>
    <w:rsid w:val="00171AC8"/>
    <w:rsid w:val="00175544"/>
    <w:rsid w:val="001C7665"/>
    <w:rsid w:val="001F763E"/>
    <w:rsid w:val="0021223B"/>
    <w:rsid w:val="002317A4"/>
    <w:rsid w:val="00242395"/>
    <w:rsid w:val="00273D82"/>
    <w:rsid w:val="0030660A"/>
    <w:rsid w:val="00314C4D"/>
    <w:rsid w:val="003151C0"/>
    <w:rsid w:val="0038787A"/>
    <w:rsid w:val="003A748A"/>
    <w:rsid w:val="00486017"/>
    <w:rsid w:val="00490397"/>
    <w:rsid w:val="004B4FC8"/>
    <w:rsid w:val="004D649C"/>
    <w:rsid w:val="004E28B4"/>
    <w:rsid w:val="004F20DF"/>
    <w:rsid w:val="00586B38"/>
    <w:rsid w:val="006821E0"/>
    <w:rsid w:val="006D52C6"/>
    <w:rsid w:val="006E6D2E"/>
    <w:rsid w:val="00701878"/>
    <w:rsid w:val="0070370E"/>
    <w:rsid w:val="00782C7A"/>
    <w:rsid w:val="007C7580"/>
    <w:rsid w:val="00807108"/>
    <w:rsid w:val="008554EC"/>
    <w:rsid w:val="008C3C49"/>
    <w:rsid w:val="008E169B"/>
    <w:rsid w:val="00914EDB"/>
    <w:rsid w:val="009241A6"/>
    <w:rsid w:val="00980E1D"/>
    <w:rsid w:val="00A06665"/>
    <w:rsid w:val="00A13018"/>
    <w:rsid w:val="00A20658"/>
    <w:rsid w:val="00A25A9F"/>
    <w:rsid w:val="00A449FD"/>
    <w:rsid w:val="00A85CB4"/>
    <w:rsid w:val="00A91572"/>
    <w:rsid w:val="00B4342E"/>
    <w:rsid w:val="00B6188A"/>
    <w:rsid w:val="00C35DD5"/>
    <w:rsid w:val="00CC16D5"/>
    <w:rsid w:val="00CD0520"/>
    <w:rsid w:val="00D35D3A"/>
    <w:rsid w:val="00D43FD8"/>
    <w:rsid w:val="00D63077"/>
    <w:rsid w:val="00D74C02"/>
    <w:rsid w:val="00D76D87"/>
    <w:rsid w:val="00DC6497"/>
    <w:rsid w:val="00DF33D7"/>
    <w:rsid w:val="00E70408"/>
    <w:rsid w:val="00E92EBF"/>
    <w:rsid w:val="00F30C7C"/>
    <w:rsid w:val="00F80DE8"/>
    <w:rsid w:val="00F83463"/>
    <w:rsid w:val="00FD3AD5"/>
    <w:rsid w:val="021262C5"/>
    <w:rsid w:val="025739FF"/>
    <w:rsid w:val="02714E39"/>
    <w:rsid w:val="02D606D8"/>
    <w:rsid w:val="03374F36"/>
    <w:rsid w:val="03C50E3C"/>
    <w:rsid w:val="05A07AF4"/>
    <w:rsid w:val="0639166E"/>
    <w:rsid w:val="066A4EB6"/>
    <w:rsid w:val="06F83A8D"/>
    <w:rsid w:val="08D05FED"/>
    <w:rsid w:val="0A256191"/>
    <w:rsid w:val="0AC0235E"/>
    <w:rsid w:val="0F365B22"/>
    <w:rsid w:val="10333974"/>
    <w:rsid w:val="1125116C"/>
    <w:rsid w:val="114D3A73"/>
    <w:rsid w:val="11B86D77"/>
    <w:rsid w:val="1300779B"/>
    <w:rsid w:val="13AE1860"/>
    <w:rsid w:val="15115DD4"/>
    <w:rsid w:val="153C39BE"/>
    <w:rsid w:val="15E973EE"/>
    <w:rsid w:val="16930926"/>
    <w:rsid w:val="18852024"/>
    <w:rsid w:val="19F9305D"/>
    <w:rsid w:val="1A424B3D"/>
    <w:rsid w:val="1AEC58E4"/>
    <w:rsid w:val="1ED55F80"/>
    <w:rsid w:val="1F85471D"/>
    <w:rsid w:val="21B87493"/>
    <w:rsid w:val="22A31EF1"/>
    <w:rsid w:val="23275A52"/>
    <w:rsid w:val="23620289"/>
    <w:rsid w:val="245A309F"/>
    <w:rsid w:val="260915DC"/>
    <w:rsid w:val="261C4494"/>
    <w:rsid w:val="263E1E45"/>
    <w:rsid w:val="26DA3BF1"/>
    <w:rsid w:val="270E53EB"/>
    <w:rsid w:val="27B876F0"/>
    <w:rsid w:val="27DB7C16"/>
    <w:rsid w:val="2A3F0751"/>
    <w:rsid w:val="2AD20F29"/>
    <w:rsid w:val="2B1027A3"/>
    <w:rsid w:val="2BFD5822"/>
    <w:rsid w:val="2C8E1627"/>
    <w:rsid w:val="2CD23AFF"/>
    <w:rsid w:val="2E860229"/>
    <w:rsid w:val="2EAC38C4"/>
    <w:rsid w:val="2ED74926"/>
    <w:rsid w:val="30290765"/>
    <w:rsid w:val="30360848"/>
    <w:rsid w:val="310224D9"/>
    <w:rsid w:val="31D40319"/>
    <w:rsid w:val="32E46C90"/>
    <w:rsid w:val="34BD2221"/>
    <w:rsid w:val="366426B3"/>
    <w:rsid w:val="37447BFF"/>
    <w:rsid w:val="37476E97"/>
    <w:rsid w:val="37DC3A83"/>
    <w:rsid w:val="386C2851"/>
    <w:rsid w:val="38EE1CC0"/>
    <w:rsid w:val="399761F6"/>
    <w:rsid w:val="39B02A2F"/>
    <w:rsid w:val="3A166DD6"/>
    <w:rsid w:val="3AA15106"/>
    <w:rsid w:val="3B5573C3"/>
    <w:rsid w:val="3E645595"/>
    <w:rsid w:val="41133180"/>
    <w:rsid w:val="418A0326"/>
    <w:rsid w:val="41A23A34"/>
    <w:rsid w:val="429E3305"/>
    <w:rsid w:val="43B05075"/>
    <w:rsid w:val="43E60EC4"/>
    <w:rsid w:val="49386069"/>
    <w:rsid w:val="4C5149BE"/>
    <w:rsid w:val="4CFF0FDA"/>
    <w:rsid w:val="50A622D6"/>
    <w:rsid w:val="516C77CE"/>
    <w:rsid w:val="51E018CB"/>
    <w:rsid w:val="554C47CF"/>
    <w:rsid w:val="56304591"/>
    <w:rsid w:val="569D43E8"/>
    <w:rsid w:val="57C45510"/>
    <w:rsid w:val="59FA5898"/>
    <w:rsid w:val="5A696FA1"/>
    <w:rsid w:val="5A92474A"/>
    <w:rsid w:val="5B8C17CB"/>
    <w:rsid w:val="5BBC1C83"/>
    <w:rsid w:val="5BC75FD5"/>
    <w:rsid w:val="5C991257"/>
    <w:rsid w:val="5DBF4485"/>
    <w:rsid w:val="5E4D2736"/>
    <w:rsid w:val="5ECD013E"/>
    <w:rsid w:val="606C7260"/>
    <w:rsid w:val="60B7397D"/>
    <w:rsid w:val="60E9572D"/>
    <w:rsid w:val="627A4B4C"/>
    <w:rsid w:val="631B79F1"/>
    <w:rsid w:val="63A6721C"/>
    <w:rsid w:val="63B15515"/>
    <w:rsid w:val="64446389"/>
    <w:rsid w:val="64D636FA"/>
    <w:rsid w:val="66CB2604"/>
    <w:rsid w:val="67BB6DD6"/>
    <w:rsid w:val="69A07A08"/>
    <w:rsid w:val="6A111F96"/>
    <w:rsid w:val="6CC865AB"/>
    <w:rsid w:val="6D3918B8"/>
    <w:rsid w:val="6F4B4A6F"/>
    <w:rsid w:val="708A15C7"/>
    <w:rsid w:val="70FB3B73"/>
    <w:rsid w:val="71F8229B"/>
    <w:rsid w:val="741826D5"/>
    <w:rsid w:val="744564FF"/>
    <w:rsid w:val="77627D63"/>
    <w:rsid w:val="790B0D2A"/>
    <w:rsid w:val="79FF4DD4"/>
    <w:rsid w:val="7A807C2D"/>
    <w:rsid w:val="7B6B66F5"/>
    <w:rsid w:val="7B811BD5"/>
    <w:rsid w:val="7D067337"/>
    <w:rsid w:val="7D634E20"/>
    <w:rsid w:val="7D91792E"/>
    <w:rsid w:val="7E28560F"/>
    <w:rsid w:val="7EDC7492"/>
    <w:rsid w:val="7FF80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E0227C2"/>
  <w15:docId w15:val="{40D1324C-57B7-4F71-AB95-A71027386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 w:qFormat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rsid w:val="008554EC"/>
    <w:pPr>
      <w:widowControl w:val="0"/>
      <w:adjustRightInd w:val="0"/>
      <w:spacing w:line="360" w:lineRule="atLeast"/>
      <w:jc w:val="both"/>
      <w:textAlignment w:val="baseline"/>
    </w:pPr>
    <w:rPr>
      <w:szCs w:val="24"/>
    </w:rPr>
  </w:style>
  <w:style w:type="paragraph" w:styleId="1">
    <w:name w:val="heading 1"/>
    <w:basedOn w:val="a"/>
    <w:next w:val="a"/>
    <w:qFormat/>
    <w:rsid w:val="008554EC"/>
    <w:pPr>
      <w:keepNext/>
      <w:keepLines/>
      <w:numPr>
        <w:numId w:val="1"/>
      </w:numPr>
      <w:spacing w:before="360" w:after="120" w:line="240" w:lineRule="auto"/>
      <w:ind w:firstLine="0"/>
      <w:outlineLvl w:val="0"/>
    </w:pPr>
    <w:rPr>
      <w:rFonts w:eastAsia="黑体"/>
      <w:bCs/>
      <w:kern w:val="44"/>
      <w:sz w:val="32"/>
      <w:szCs w:val="44"/>
    </w:rPr>
  </w:style>
  <w:style w:type="paragraph" w:styleId="2">
    <w:name w:val="heading 2"/>
    <w:basedOn w:val="a"/>
    <w:next w:val="a"/>
    <w:semiHidden/>
    <w:unhideWhenUsed/>
    <w:qFormat/>
    <w:rsid w:val="008554EC"/>
    <w:pPr>
      <w:keepNext/>
      <w:keepLines/>
      <w:numPr>
        <w:ilvl w:val="1"/>
        <w:numId w:val="2"/>
      </w:numPr>
      <w:tabs>
        <w:tab w:val="left" w:pos="840"/>
      </w:tabs>
      <w:spacing w:before="140" w:after="140" w:line="240" w:lineRule="auto"/>
      <w:ind w:left="840" w:hanging="420"/>
      <w:outlineLvl w:val="1"/>
    </w:pPr>
    <w:rPr>
      <w:rFonts w:asciiTheme="majorHAnsi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semiHidden/>
    <w:unhideWhenUsed/>
    <w:qFormat/>
    <w:rsid w:val="008554EC"/>
    <w:pPr>
      <w:keepNext/>
      <w:keepLines/>
      <w:numPr>
        <w:ilvl w:val="2"/>
        <w:numId w:val="3"/>
      </w:numPr>
      <w:spacing w:before="140" w:after="140" w:line="240" w:lineRule="auto"/>
      <w:ind w:leftChars="200" w:left="1200" w:firstLine="0"/>
      <w:outlineLvl w:val="2"/>
    </w:pPr>
    <w:rPr>
      <w:b/>
      <w:bCs/>
      <w:sz w:val="28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Plain Text"/>
    <w:basedOn w:val="a"/>
    <w:link w:val="a4"/>
    <w:qFormat/>
    <w:rsid w:val="008554EC"/>
    <w:rPr>
      <w:rFonts w:ascii="宋体" w:eastAsiaTheme="minorEastAsia" w:hAnsi="Courier New" w:cs="Courier New"/>
      <w:szCs w:val="21"/>
    </w:rPr>
  </w:style>
  <w:style w:type="paragraph" w:styleId="a5">
    <w:name w:val="annotation text"/>
    <w:basedOn w:val="a"/>
    <w:rsid w:val="008554EC"/>
    <w:pPr>
      <w:jc w:val="left"/>
    </w:pPr>
  </w:style>
  <w:style w:type="paragraph" w:styleId="a6">
    <w:name w:val="Body Text"/>
    <w:basedOn w:val="a"/>
    <w:next w:val="a"/>
    <w:qFormat/>
    <w:rsid w:val="008554EC"/>
  </w:style>
  <w:style w:type="paragraph" w:styleId="a7">
    <w:name w:val="Balloon Text"/>
    <w:basedOn w:val="a"/>
    <w:link w:val="a8"/>
    <w:qFormat/>
    <w:rsid w:val="008554EC"/>
    <w:pPr>
      <w:spacing w:line="240" w:lineRule="auto"/>
    </w:pPr>
    <w:rPr>
      <w:sz w:val="18"/>
      <w:szCs w:val="18"/>
    </w:rPr>
  </w:style>
  <w:style w:type="paragraph" w:styleId="a9">
    <w:name w:val="footer"/>
    <w:basedOn w:val="a"/>
    <w:unhideWhenUsed/>
    <w:qFormat/>
    <w:rsid w:val="008554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"/>
    <w:unhideWhenUsed/>
    <w:qFormat/>
    <w:rsid w:val="008554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b">
    <w:name w:val="page number"/>
    <w:basedOn w:val="a1"/>
    <w:uiPriority w:val="99"/>
    <w:semiHidden/>
    <w:unhideWhenUsed/>
    <w:qFormat/>
    <w:rsid w:val="008554EC"/>
  </w:style>
  <w:style w:type="character" w:styleId="ac">
    <w:name w:val="Hyperlink"/>
    <w:basedOn w:val="a1"/>
    <w:qFormat/>
    <w:rsid w:val="008554EC"/>
    <w:rPr>
      <w:color w:val="0000FF"/>
      <w:u w:val="single"/>
    </w:rPr>
  </w:style>
  <w:style w:type="character" w:styleId="ad">
    <w:name w:val="annotation reference"/>
    <w:basedOn w:val="a1"/>
    <w:rsid w:val="008554EC"/>
    <w:rPr>
      <w:sz w:val="21"/>
      <w:szCs w:val="21"/>
    </w:rPr>
  </w:style>
  <w:style w:type="paragraph" w:customStyle="1" w:styleId="ae">
    <w:name w:val="表格内文字"/>
    <w:basedOn w:val="a"/>
    <w:qFormat/>
    <w:rsid w:val="008554EC"/>
    <w:pPr>
      <w:jc w:val="center"/>
    </w:pPr>
    <w:rPr>
      <w:rFonts w:asciiTheme="minorHAnsi" w:eastAsia="黑体" w:hAnsiTheme="minorHAnsi" w:cstheme="minorEastAsia"/>
      <w:szCs w:val="28"/>
    </w:rPr>
  </w:style>
  <w:style w:type="paragraph" w:customStyle="1" w:styleId="af">
    <w:name w:val="图"/>
    <w:basedOn w:val="a"/>
    <w:qFormat/>
    <w:rsid w:val="008554EC"/>
    <w:pPr>
      <w:keepNext/>
      <w:spacing w:before="60" w:after="60" w:line="300" w:lineRule="auto"/>
      <w:jc w:val="center"/>
      <w:textAlignment w:val="center"/>
    </w:pPr>
    <w:rPr>
      <w:snapToGrid w:val="0"/>
      <w:spacing w:val="20"/>
      <w:sz w:val="24"/>
      <w:szCs w:val="20"/>
    </w:rPr>
  </w:style>
  <w:style w:type="paragraph" w:styleId="af0">
    <w:name w:val="List Paragraph"/>
    <w:basedOn w:val="a"/>
    <w:uiPriority w:val="34"/>
    <w:qFormat/>
    <w:rsid w:val="008554EC"/>
    <w:pPr>
      <w:ind w:firstLineChars="200" w:firstLine="420"/>
    </w:pPr>
  </w:style>
  <w:style w:type="character" w:customStyle="1" w:styleId="font11">
    <w:name w:val="font11"/>
    <w:basedOn w:val="a1"/>
    <w:qFormat/>
    <w:rsid w:val="008554EC"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font41">
    <w:name w:val="font41"/>
    <w:basedOn w:val="a1"/>
    <w:qFormat/>
    <w:rsid w:val="008554EC"/>
    <w:rPr>
      <w:rFonts w:ascii="宋体" w:eastAsia="宋体" w:hAnsi="宋体" w:cs="宋体" w:hint="eastAsia"/>
      <w:color w:val="FF0000"/>
      <w:sz w:val="22"/>
      <w:szCs w:val="22"/>
      <w:u w:val="none"/>
    </w:rPr>
  </w:style>
  <w:style w:type="character" w:customStyle="1" w:styleId="font71">
    <w:name w:val="font71"/>
    <w:basedOn w:val="a1"/>
    <w:qFormat/>
    <w:rsid w:val="008554EC"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font81">
    <w:name w:val="font81"/>
    <w:basedOn w:val="a1"/>
    <w:qFormat/>
    <w:rsid w:val="008554EC"/>
    <w:rPr>
      <w:rFonts w:ascii="宋体" w:eastAsia="宋体" w:hAnsi="宋体" w:cs="宋体"/>
      <w:color w:val="000000"/>
      <w:sz w:val="22"/>
      <w:szCs w:val="22"/>
      <w:u w:val="none"/>
    </w:rPr>
  </w:style>
  <w:style w:type="character" w:customStyle="1" w:styleId="a8">
    <w:name w:val="批注框文本 字符"/>
    <w:basedOn w:val="a1"/>
    <w:link w:val="a7"/>
    <w:qFormat/>
    <w:rsid w:val="008554EC"/>
    <w:rPr>
      <w:sz w:val="18"/>
      <w:szCs w:val="18"/>
    </w:rPr>
  </w:style>
  <w:style w:type="character" w:customStyle="1" w:styleId="a4">
    <w:name w:val="纯文本 字符"/>
    <w:basedOn w:val="a1"/>
    <w:link w:val="a0"/>
    <w:qFormat/>
    <w:rsid w:val="008554EC"/>
    <w:rPr>
      <w:rFonts w:ascii="宋体" w:eastAsiaTheme="minorEastAsia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163</Words>
  <Characters>931</Characters>
  <Application>Microsoft Office Word</Application>
  <DocSecurity>0</DocSecurity>
  <Lines>7</Lines>
  <Paragraphs>2</Paragraphs>
  <ScaleCrop>false</ScaleCrop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瑞</cp:lastModifiedBy>
  <cp:revision>13</cp:revision>
  <dcterms:created xsi:type="dcterms:W3CDTF">2022-09-20T02:13:00Z</dcterms:created>
  <dcterms:modified xsi:type="dcterms:W3CDTF">2022-09-28T00:54:00Z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4B7010593EBC486A93C4CFFCAA555E5E</vt:lpwstr>
  </property>
</Properties>
</file>